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harts/chart3.xml" ContentType="application/vnd.openxmlformats-officedocument.drawingml.chart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charts/chart2.xml" ContentType="application/vnd.openxmlformats-officedocument.drawingml.chart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Finding Information on Policy Issues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NAME</w:t>
      </w:r>
    </w:p>
    <w:p>
      <w:pPr>
        <w:pStyle w:val="style0"/>
        <w:shd w:val="clear" w:color="auto" w:fill="ffffff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COURSE</w:t>
      </w:r>
    </w:p>
    <w:p>
      <w:pPr>
        <w:pStyle w:val="style0"/>
        <w:shd w:val="clear" w:color="auto" w:fill="ffffff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DATE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Finding Information on Policy Issues</w:t>
      </w:r>
    </w:p>
    <w:tbl>
      <w:tblPr>
        <w:tblpPr w:leftFromText="180" w:rightFromText="180" w:topFromText="0" w:bottomFromText="0" w:vertAnchor="page" w:horzAnchor="margin" w:tblpXSpec="left" w:tblpY="2611"/>
        <w:tblW w:w="8762" w:type="dxa"/>
        <w:tblLook w:val="04A0" w:firstRow="1" w:lastRow="0" w:firstColumn="1" w:lastColumn="0" w:noHBand="0" w:noVBand="1"/>
      </w:tblPr>
      <w:tblGrid>
        <w:gridCol w:w="3510"/>
        <w:gridCol w:w="2546"/>
        <w:gridCol w:w="2706"/>
      </w:tblGrid>
      <w:tr>
        <w:trPr>
          <w:trHeight w:val="308" w:hRule="atLeas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(U.S. Census Bureau, 2019b, 2019a)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Pennsylvania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Age and sex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Under 18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20.6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65 and over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18.7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51.4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High School graduate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87.1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90.5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Bachelor's Degree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31.4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Income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Amount</w:t>
            </w:r>
          </w:p>
        </w:tc>
      </w:tr>
      <w:tr>
        <w:tblPrEx/>
        <w:trPr>
          <w:trHeight w:val="308" w:hRule="atLeast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per capita income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$  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31,067.00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$    34,352.00 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114300" distT="0" distB="0" distR="114300">
            <wp:extent cx="5734050" cy="205740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</w:rPr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114300" distT="0" distB="0" distR="114300">
            <wp:extent cx="5943600" cy="240855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</w:rPr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114300" distT="0" distB="0" distR="114300">
            <wp:extent cx="6172200" cy="2638425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</w:rPr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114300" distT="0" distB="0" distR="114300">
            <wp:extent cx="6172200" cy="2581275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</w:rPr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rate of property crime offences has been declining in each </w:t>
      </w:r>
      <w:r>
        <w:rPr>
          <w:rFonts w:ascii="Times New Roman" w:cs="Times New Roman" w:hAnsi="Times New Roman"/>
          <w:sz w:val="24"/>
          <w:szCs w:val="24"/>
        </w:rPr>
        <w:t>state</w:t>
      </w:r>
      <w:r>
        <w:rPr>
          <w:rFonts w:ascii="Times New Roman" w:cs="Times New Roman" w:hAnsi="Times New Roman"/>
          <w:sz w:val="24"/>
          <w:szCs w:val="24"/>
        </w:rPr>
        <w:t xml:space="preserve"> above</w:t>
      </w:r>
      <w:r>
        <w:rPr>
          <w:rFonts w:ascii="Times New Roman" w:cs="Times New Roman" w:hAnsi="Times New Roman"/>
          <w:sz w:val="24"/>
          <w:szCs w:val="24"/>
        </w:rPr>
        <w:t xml:space="preserve"> as recorded by the FBI (2019a, 2019b)</w:t>
      </w:r>
      <w:r>
        <w:rPr>
          <w:rFonts w:ascii="Times New Roman" w:cs="Times New Roman" w:hAnsi="Times New Roman"/>
          <w:sz w:val="24"/>
          <w:szCs w:val="24"/>
        </w:rPr>
        <w:t xml:space="preserve">; Pennsylvania and Georgia. However in both states the highest crime rate reported is destruction/damage and vandalism of property. </w:t>
      </w:r>
      <w:r>
        <w:rPr>
          <w:rFonts w:ascii="Times New Roman" w:cs="Times New Roman" w:hAnsi="Times New Roman"/>
          <w:sz w:val="24"/>
          <w:szCs w:val="24"/>
        </w:rPr>
        <w:t xml:space="preserve">The strategic policy </w:t>
      </w:r>
      <w:r>
        <w:rPr>
          <w:rFonts w:ascii="Times New Roman" w:cs="Times New Roman" w:hAnsi="Times New Roman"/>
          <w:sz w:val="24"/>
          <w:szCs w:val="24"/>
        </w:rPr>
        <w:t xml:space="preserve">that can reduce vandalism in the states mentioned above is 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Putting up streets lights in area that has few or non-existing. 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Install secure perimeter fencing that allows for surveillance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lineRule="auto" w:line="480"/>
        <w:ind w:first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94"/>
        <w:spacing w:lineRule="auto" w:line="480"/>
        <w:ind w:left="720" w:hanging="720"/>
        <w:rPr/>
      </w:pPr>
      <w:r>
        <w:t>FBI.</w:t>
      </w:r>
      <w:r>
        <w:t xml:space="preserve"> </w:t>
      </w:r>
      <w:r>
        <w:t xml:space="preserve">(2019a). </w:t>
      </w:r>
      <w:r>
        <w:rPr>
          <w:i/>
          <w:iCs/>
        </w:rPr>
        <w:t>Crime data for Georgia</w:t>
      </w:r>
      <w:r>
        <w:t>.</w:t>
      </w:r>
      <w:r>
        <w:t xml:space="preserve"> </w:t>
      </w:r>
      <w:r>
        <w:t>Federal Bureau of Investigation Crime Data Explorer.</w:t>
      </w:r>
      <w:r>
        <w:t xml:space="preserve"> https://crime-data-explorer.fr.cloud.gov/pages/explorer/crime/crime-trend</w:t>
      </w:r>
    </w:p>
    <w:p>
      <w:pPr>
        <w:pStyle w:val="style94"/>
        <w:spacing w:lineRule="auto" w:line="480"/>
        <w:ind w:left="720" w:hanging="720"/>
        <w:rPr/>
      </w:pPr>
      <w:r>
        <w:t>FBI.</w:t>
      </w:r>
      <w:r>
        <w:t xml:space="preserve"> </w:t>
      </w:r>
      <w:r>
        <w:t xml:space="preserve">(2019b). </w:t>
      </w:r>
      <w:r>
        <w:rPr>
          <w:i/>
          <w:iCs/>
        </w:rPr>
        <w:t>Crime data for Pennsylvania</w:t>
      </w:r>
      <w:r>
        <w:t>.</w:t>
      </w:r>
      <w:r>
        <w:t xml:space="preserve"> </w:t>
      </w:r>
      <w:r>
        <w:t>Federal Bureau of Investigation Crime Data Explorer.</w:t>
      </w:r>
      <w:r>
        <w:t xml:space="preserve"> https://crime-data-explorer.fr.cloud.gov/pages/explorer/crime/crime-trend</w:t>
      </w:r>
    </w:p>
    <w:p>
      <w:pPr>
        <w:pStyle w:val="style94"/>
        <w:spacing w:lineRule="auto" w:line="480"/>
        <w:ind w:left="720" w:hanging="720"/>
        <w:rPr/>
      </w:pPr>
      <w:r>
        <w:t>U.S. Census Bureau.</w:t>
      </w:r>
      <w:r>
        <w:t xml:space="preserve"> (2019a). </w:t>
      </w:r>
      <w:r>
        <w:rPr>
          <w:i/>
          <w:iCs/>
        </w:rPr>
        <w:t xml:space="preserve">U.S. Census Bureau </w:t>
      </w:r>
      <w:r>
        <w:rPr>
          <w:i/>
          <w:iCs/>
        </w:rPr>
        <w:t>QuickFacts</w:t>
      </w:r>
      <w:r>
        <w:rPr>
          <w:i/>
          <w:iCs/>
        </w:rPr>
        <w:t>: Georgia; United States</w:t>
      </w:r>
      <w:r>
        <w:t xml:space="preserve">. </w:t>
      </w:r>
      <w:r>
        <w:t xml:space="preserve">Census Bureau </w:t>
      </w:r>
      <w:r>
        <w:t>QuickFacts</w:t>
      </w:r>
      <w:r>
        <w:t>.</w:t>
      </w:r>
      <w:r>
        <w:t xml:space="preserve"> https://www.census.gov/quickfacts/fact/table/GA,US/PST045219</w:t>
      </w:r>
    </w:p>
    <w:p>
      <w:pPr>
        <w:pStyle w:val="style94"/>
        <w:spacing w:lineRule="auto" w:line="480"/>
        <w:ind w:left="720" w:hanging="720"/>
        <w:rPr/>
      </w:pPr>
      <w:r>
        <w:t>U.S. Census Bureau.</w:t>
      </w:r>
      <w:r>
        <w:t xml:space="preserve"> (2019b). </w:t>
      </w:r>
      <w:r>
        <w:rPr>
          <w:i/>
          <w:iCs/>
        </w:rPr>
        <w:t xml:space="preserve">U.S. Census Bureau </w:t>
      </w:r>
      <w:r>
        <w:rPr>
          <w:i/>
          <w:iCs/>
        </w:rPr>
        <w:t>QuickFacts</w:t>
      </w:r>
      <w:r>
        <w:rPr>
          <w:i/>
          <w:iCs/>
        </w:rPr>
        <w:t>: Pennsylvania; United States</w:t>
      </w:r>
      <w:r>
        <w:t xml:space="preserve">. </w:t>
      </w:r>
      <w:r>
        <w:t xml:space="preserve">Census Bureau </w:t>
      </w:r>
      <w:r>
        <w:t>QuickFacts</w:t>
      </w:r>
      <w:r>
        <w:t>.</w:t>
      </w:r>
      <w:r>
        <w:t xml:space="preserve"> https://www.census.gov/quickfacts/fact/table/PA,US/PST045219</w:t>
      </w:r>
    </w:p>
    <w:p>
      <w:pPr>
        <w:pStyle w:val="style0"/>
        <w:rPr/>
      </w:pPr>
    </w:p>
    <w:p>
      <w:pPr>
        <w:pStyle w:val="style94"/>
        <w:spacing w:lineRule="auto" w:line="480"/>
        <w:ind w:left="720" w:hanging="720"/>
        <w:rPr/>
      </w:pPr>
    </w:p>
    <w:sectPr>
      <w:headerReference w:type="default" r:id="rId6"/>
      <w:headerReference w:type="first" r:id="rId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POLICY</w:t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2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50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77e70e34-09c8-4748-b845-594c174e613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abd2e0b-b42c-4179-813e-c7e2ffaeb5fc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chart" Target="charts/chart4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styles" Target="styles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oleObject" TargetMode="External" Target="file:/C:/Users/User/Downloads/Offense-linked-to-another-offense5_12_2021.csv"/>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Pennsylvania Offense from 2009 to 2019</a:t>
            </a:r>
            <a:endParaRPr lang="en-US"/>
          </a:p>
        </c:rich>
      </c:tx>
      <c:layout>
        <c:manualLayout>
          <c:xMode val="edge"/>
          <c:yMode val="edge"/>
          <c:x val="0.3040675105485232"/>
          <c:y val="0.080409356725146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'Offense-linked-to-another-offen'!$B$1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cat>
            <c:strRef>
              <c:f>'Offense-linked-to-another-offen'!$A$2:$A$48</c:f>
              <c:strCache>
                <c:ptCount val="47"/>
                <c:pt idx="0">
                  <c:v>Destruction/Damage/Vandalism of Property</c:v>
                </c:pt>
                <c:pt idx="1">
                  <c:v>Weapon Law Violations</c:v>
                </c:pt>
                <c:pt idx="2">
                  <c:v>Simple Assault</c:v>
                </c:pt>
                <c:pt idx="3">
                  <c:v>Kidnapping/Abduction</c:v>
                </c:pt>
                <c:pt idx="4">
                  <c:v>Drug/Narcotic Violations</c:v>
                </c:pt>
                <c:pt idx="5">
                  <c:v>Burglary/Breaking &amp; Entering</c:v>
                </c:pt>
                <c:pt idx="6">
                  <c:v>All Other Larceny</c:v>
                </c:pt>
                <c:pt idx="7">
                  <c:v>Drug Equipment Violations</c:v>
                </c:pt>
                <c:pt idx="8">
                  <c:v>Intimidation</c:v>
                </c:pt>
                <c:pt idx="9">
                  <c:v>Aggravated Assault</c:v>
                </c:pt>
                <c:pt idx="10">
                  <c:v>Motor Vehicle Theft</c:v>
                </c:pt>
                <c:pt idx="11">
                  <c:v>Robbery</c:v>
                </c:pt>
                <c:pt idx="12">
                  <c:v>Sodomy</c:v>
                </c:pt>
                <c:pt idx="13">
                  <c:v>Shoplifting</c:v>
                </c:pt>
                <c:pt idx="14">
                  <c:v>Stolen Property Offenses</c:v>
                </c:pt>
                <c:pt idx="15">
                  <c:v>Murder and Nonnegligent Manslaughter</c:v>
                </c:pt>
                <c:pt idx="16">
                  <c:v>Theft From Building</c:v>
                </c:pt>
                <c:pt idx="17">
                  <c:v>Fondling</c:v>
                </c:pt>
                <c:pt idx="18">
                  <c:v>Bribery</c:v>
                </c:pt>
                <c:pt idx="19">
                  <c:v>Theft from Motor Vehicle</c:v>
                </c:pt>
                <c:pt idx="20">
                  <c:v>Sexual Assault with an Object</c:v>
                </c:pt>
                <c:pt idx="21">
                  <c:v>Pornography/Obscene Material</c:v>
                </c:pt>
                <c:pt idx="22">
                  <c:v>False Pretenses/Swindle/Confidence game</c:v>
                </c:pt>
                <c:pt idx="23">
                  <c:v>Arson</c:v>
                </c:pt>
                <c:pt idx="24">
                  <c:v>Credit Card/Automated Teller Machine Fraud</c:v>
                </c:pt>
                <c:pt idx="25">
                  <c:v>Counterfeiting/Forgery</c:v>
                </c:pt>
                <c:pt idx="26">
                  <c:v>Impersonation</c:v>
                </c:pt>
                <c:pt idx="27">
                  <c:v>Animal Cruelty</c:v>
                </c:pt>
                <c:pt idx="28">
                  <c:v>Purse-snatching</c:v>
                </c:pt>
                <c:pt idx="29">
                  <c:v>Human Trafficking, Commercial Sex Acts</c:v>
                </c:pt>
                <c:pt idx="30">
                  <c:v>Identity Theft</c:v>
                </c:pt>
                <c:pt idx="31">
                  <c:v>Extortion/Blackmail</c:v>
                </c:pt>
                <c:pt idx="32">
                  <c:v>Pocket-Picking</c:v>
                </c:pt>
                <c:pt idx="33">
                  <c:v>Theft of Motor Vehicle Parts or Accessories</c:v>
                </c:pt>
                <c:pt idx="34">
                  <c:v>Assisting or Promoting Prostitution</c:v>
                </c:pt>
                <c:pt idx="35">
                  <c:v>Prostitution</c:v>
                </c:pt>
                <c:pt idx="36">
                  <c:v>Statutory Rape</c:v>
                </c:pt>
                <c:pt idx="37">
                  <c:v>Incest</c:v>
                </c:pt>
                <c:pt idx="38">
                  <c:v>Human Trafficking, Involuntary Servitude</c:v>
                </c:pt>
                <c:pt idx="39">
                  <c:v>embezzlement</c:v>
                </c:pt>
                <c:pt idx="40">
                  <c:v>Negligent Manslaughter</c:v>
                </c:pt>
                <c:pt idx="41">
                  <c:v>Purchasing Prostitution</c:v>
                </c:pt>
                <c:pt idx="42">
                  <c:v>Wire Fraud</c:v>
                </c:pt>
                <c:pt idx="43">
                  <c:v>Welfare Fraud</c:v>
                </c:pt>
                <c:pt idx="44">
                  <c:v>Theft from Coin-operated Machine or Device</c:v>
                </c:pt>
                <c:pt idx="45">
                  <c:v>Operating/Promoting/Assisting Gambling</c:v>
                </c:pt>
                <c:pt idx="46">
                  <c:v>Hacking/Computer Invasion</c:v>
                </c:pt>
              </c:strCache>
            </c:strRef>
          </c:cat>
          <c:val>
            <c:numRef>
              <c:f>'Offense-linked-to-another-offen'!$B$2:$B$48</c:f>
              <c:numCache>
                <c:formatCode>General</c:formatCode>
                <c:ptCount val="47"/>
                <c:pt idx="0">
                  <c:v>23199.0</c:v>
                </c:pt>
                <c:pt idx="1">
                  <c:v>15436.0</c:v>
                </c:pt>
                <c:pt idx="2">
                  <c:v>11813.0</c:v>
                </c:pt>
                <c:pt idx="3">
                  <c:v>7725.0</c:v>
                </c:pt>
                <c:pt idx="4">
                  <c:v>6579.0</c:v>
                </c:pt>
                <c:pt idx="5">
                  <c:v>6260.0</c:v>
                </c:pt>
                <c:pt idx="6">
                  <c:v>3186.0</c:v>
                </c:pt>
                <c:pt idx="7">
                  <c:v>2869.0</c:v>
                </c:pt>
                <c:pt idx="8">
                  <c:v>2399.0</c:v>
                </c:pt>
                <c:pt idx="9">
                  <c:v>1962.0</c:v>
                </c:pt>
                <c:pt idx="10">
                  <c:v>1696.0</c:v>
                </c:pt>
                <c:pt idx="11">
                  <c:v>1618.0</c:v>
                </c:pt>
                <c:pt idx="12">
                  <c:v>1292.0</c:v>
                </c:pt>
                <c:pt idx="13">
                  <c:v>1150.0</c:v>
                </c:pt>
                <c:pt idx="14">
                  <c:v>1065.0</c:v>
                </c:pt>
                <c:pt idx="15">
                  <c:v>947.0</c:v>
                </c:pt>
                <c:pt idx="16">
                  <c:v>920.0</c:v>
                </c:pt>
                <c:pt idx="17">
                  <c:v>785.0</c:v>
                </c:pt>
                <c:pt idx="18">
                  <c:v>785.0</c:v>
                </c:pt>
                <c:pt idx="19">
                  <c:v>684.0</c:v>
                </c:pt>
                <c:pt idx="20">
                  <c:v>486.0</c:v>
                </c:pt>
                <c:pt idx="21">
                  <c:v>408.0</c:v>
                </c:pt>
                <c:pt idx="22">
                  <c:v>384.0</c:v>
                </c:pt>
                <c:pt idx="23">
                  <c:v>360.0</c:v>
                </c:pt>
                <c:pt idx="24">
                  <c:v>264.0</c:v>
                </c:pt>
                <c:pt idx="25">
                  <c:v>246.0</c:v>
                </c:pt>
                <c:pt idx="26">
                  <c:v>239.0</c:v>
                </c:pt>
                <c:pt idx="27">
                  <c:v>131.0</c:v>
                </c:pt>
                <c:pt idx="28">
                  <c:v>93.0</c:v>
                </c:pt>
                <c:pt idx="29">
                  <c:v>91.0</c:v>
                </c:pt>
                <c:pt idx="30">
                  <c:v>85.0</c:v>
                </c:pt>
                <c:pt idx="31">
                  <c:v>85.0</c:v>
                </c:pt>
                <c:pt idx="32">
                  <c:v>74.0</c:v>
                </c:pt>
                <c:pt idx="33">
                  <c:v>70.0</c:v>
                </c:pt>
                <c:pt idx="34">
                  <c:v>67.0</c:v>
                </c:pt>
                <c:pt idx="35">
                  <c:v>61.0</c:v>
                </c:pt>
                <c:pt idx="36">
                  <c:v>40.0</c:v>
                </c:pt>
                <c:pt idx="37">
                  <c:v>20.0</c:v>
                </c:pt>
                <c:pt idx="38">
                  <c:v>20.0</c:v>
                </c:pt>
                <c:pt idx="39">
                  <c:v>17.0</c:v>
                </c:pt>
                <c:pt idx="40">
                  <c:v>16.0</c:v>
                </c:pt>
                <c:pt idx="41">
                  <c:v>13.0</c:v>
                </c:pt>
                <c:pt idx="42">
                  <c:v>6.0</c:v>
                </c:pt>
                <c:pt idx="43">
                  <c:v>5.0</c:v>
                </c:pt>
                <c:pt idx="44">
                  <c:v>5.0</c:v>
                </c:pt>
                <c:pt idx="45">
                  <c:v>3.0</c:v>
                </c:pt>
                <c:pt idx="46">
                  <c:v>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93113344"/>
        <c:axId val="493114880"/>
      </c:barChart>
      <c:catAx>
        <c:axId val="493113344"/>
        <c:scaling>
          <c:orientation val="minMax"/>
        </c:scaling>
        <c:delete val="0"/>
        <c:axPos val="l"/>
        <c:majorTickMark val="none"/>
        <c:minorTickMark val="none"/>
        <c:tickLblPos val="nextTo"/>
        <c:crossAx val="493114880"/>
        <c:crosses val="autoZero"/>
        <c:auto val="1"/>
        <c:lblAlgn val="ctr"/>
        <c:lblOffset val="100"/>
        <c:noMultiLvlLbl val="0"/>
      </c:catAx>
      <c:valAx>
        <c:axId val="49311488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93113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Pennsylvania Rate-of-Property-Crime-Offenses-</a:t>
            </a:r>
            <a:r>
              <a:rPr lang="en-US" sz="1800" b="0" i="0" u="none" strike="noStrike" baseline="0">
                <a:effectLst/>
              </a:rPr>
              <a:t>Rate per 100,000 people, by year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'Rate-of-Property-Crime-Offenses'!$A$3</c:f>
              <c:strCache>
                <c:ptCount val="1"/>
                <c:pt idx="0">
                  <c:v>Pennsylvania</c:v>
                </c:pt>
              </c:strCache>
            </c:strRef>
          </c:tx>
          <c:marker>
            <c:symbol val="none"/>
          </c:marker>
          <c:cat>
            <c:numRef>
              <c:f>'Rate-of-Property-Crime-Offenses'!$B$1:$L$1</c:f>
              <c:numCache>
                <c:formatCode>General</c:formatCode>
                <c:ptCount val="11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  <c:pt idx="4">
                  <c:v>2013.0</c:v>
                </c:pt>
                <c:pt idx="5">
                  <c:v>2014.0</c:v>
                </c:pt>
                <c:pt idx="6">
                  <c:v>2015.0</c:v>
                </c:pt>
                <c:pt idx="7">
                  <c:v>2016.0</c:v>
                </c:pt>
                <c:pt idx="8">
                  <c:v>2017.0</c:v>
                </c:pt>
                <c:pt idx="9">
                  <c:v>2018.0</c:v>
                </c:pt>
                <c:pt idx="10">
                  <c:v>2019.0</c:v>
                </c:pt>
              </c:numCache>
            </c:numRef>
          </c:cat>
          <c:val>
            <c:numRef>
              <c:f>'Rate-of-Property-Crime-Offenses'!$B$3:$L$3</c:f>
              <c:numCache>
                <c:formatCode>General</c:formatCode>
                <c:ptCount val="11"/>
                <c:pt idx="0">
                  <c:v>2199.0</c:v>
                </c:pt>
                <c:pt idx="1">
                  <c:v>2173.1</c:v>
                </c:pt>
                <c:pt idx="2">
                  <c:v>2224.1</c:v>
                </c:pt>
                <c:pt idx="3">
                  <c:v>2166.7</c:v>
                </c:pt>
                <c:pt idx="4">
                  <c:v>2059.1</c:v>
                </c:pt>
                <c:pt idx="5">
                  <c:v>1930.5</c:v>
                </c:pt>
                <c:pt idx="6">
                  <c:v>1813.2</c:v>
                </c:pt>
                <c:pt idx="7">
                  <c:v>1739.2</c:v>
                </c:pt>
                <c:pt idx="8">
                  <c:v>1644.3</c:v>
                </c:pt>
                <c:pt idx="9">
                  <c:v>1489.2</c:v>
                </c:pt>
                <c:pt idx="10">
                  <c:v>1403.4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2435456"/>
        <c:axId val="332436992"/>
      </c:lineChart>
      <c:catAx>
        <c:axId val="33243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2436992"/>
        <c:crosses val="autoZero"/>
        <c:auto val="1"/>
        <c:lblAlgn val="ctr"/>
        <c:lblOffset val="100"/>
        <c:noMultiLvlLbl val="0"/>
      </c:catAx>
      <c:valAx>
        <c:axId val="332436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435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Offences</a:t>
            </a:r>
            <a:r>
              <a:rPr lang="en-US" baseline="0"/>
              <a:t> reported in Georgia in 2019</a:t>
            </a:r>
            <a:endParaRPr lang="en-US"/>
          </a:p>
        </c:rich>
      </c:tx>
      <c:layout>
        <c:manualLayout>
          <c:xMode val="edge"/>
          <c:yMode val="edge"/>
          <c:x val="0.41072922134733153"/>
          <c:y val="0.023148148148148147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'Offense-linked-to-another-offen'!$B$1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cat>
            <c:strRef>
              <c:f>'Offense-linked-to-another-offen'!$A$2:$A$33</c:f>
              <c:strCache>
                <c:ptCount val="32"/>
                <c:pt idx="0">
                  <c:v>Destruction/Damage/Vandalism of Property</c:v>
                </c:pt>
                <c:pt idx="1">
                  <c:v>Simple Assault</c:v>
                </c:pt>
                <c:pt idx="2">
                  <c:v>Kidnapping/Abduction</c:v>
                </c:pt>
                <c:pt idx="3">
                  <c:v>Weapon Law Violations</c:v>
                </c:pt>
                <c:pt idx="4">
                  <c:v>Drug/Narcotic Violations</c:v>
                </c:pt>
                <c:pt idx="5">
                  <c:v>Intimidation</c:v>
                </c:pt>
                <c:pt idx="6">
                  <c:v>Aggravated Assault</c:v>
                </c:pt>
                <c:pt idx="7">
                  <c:v>Robbery</c:v>
                </c:pt>
                <c:pt idx="8">
                  <c:v>Burglary/Breaking &amp; Entering</c:v>
                </c:pt>
                <c:pt idx="9">
                  <c:v>All Other Larceny</c:v>
                </c:pt>
                <c:pt idx="10">
                  <c:v>Motor Vehicle Theft</c:v>
                </c:pt>
                <c:pt idx="11">
                  <c:v>Theft from Motor Vehicle</c:v>
                </c:pt>
                <c:pt idx="12">
                  <c:v>Fondling</c:v>
                </c:pt>
                <c:pt idx="13">
                  <c:v>Bribery</c:v>
                </c:pt>
                <c:pt idx="14">
                  <c:v>Drug Equipment Violations</c:v>
                </c:pt>
                <c:pt idx="15">
                  <c:v>Sodomy</c:v>
                </c:pt>
                <c:pt idx="16">
                  <c:v>Stolen Property Offenses</c:v>
                </c:pt>
                <c:pt idx="17">
                  <c:v>Murder and Nonnegligent Manslaughter</c:v>
                </c:pt>
                <c:pt idx="18">
                  <c:v>Shoplifting</c:v>
                </c:pt>
                <c:pt idx="19">
                  <c:v>Theft From Building</c:v>
                </c:pt>
                <c:pt idx="20">
                  <c:v>False Pretenses/Swindle/Confidence game</c:v>
                </c:pt>
                <c:pt idx="21">
                  <c:v>Counterfeiting/Forgery</c:v>
                </c:pt>
                <c:pt idx="22">
                  <c:v>Arson</c:v>
                </c:pt>
                <c:pt idx="23">
                  <c:v>Credit Card/Automated Teller Machine Fraud</c:v>
                </c:pt>
                <c:pt idx="24">
                  <c:v>Pornography/Obscene Material</c:v>
                </c:pt>
                <c:pt idx="25">
                  <c:v>Animal Cruelty</c:v>
                </c:pt>
                <c:pt idx="26">
                  <c:v>Statutory Rape</c:v>
                </c:pt>
                <c:pt idx="27">
                  <c:v>Impersonation</c:v>
                </c:pt>
                <c:pt idx="28">
                  <c:v>Sexual Assault with an Object</c:v>
                </c:pt>
                <c:pt idx="29">
                  <c:v>Prostitution</c:v>
                </c:pt>
                <c:pt idx="30">
                  <c:v>Human Trafficking, Commercial Sex Acts</c:v>
                </c:pt>
                <c:pt idx="31">
                  <c:v>Assisting or Promoting Prostitution</c:v>
                </c:pt>
              </c:strCache>
            </c:strRef>
          </c:cat>
          <c:val>
            <c:numRef>
              <c:f>'Offense-linked-to-another-offen'!$B$2:$B$33</c:f>
              <c:numCache>
                <c:formatCode>General</c:formatCode>
                <c:ptCount val="32"/>
                <c:pt idx="0">
                  <c:v>207.0</c:v>
                </c:pt>
                <c:pt idx="1">
                  <c:v>106.0</c:v>
                </c:pt>
                <c:pt idx="2">
                  <c:v>85.0</c:v>
                </c:pt>
                <c:pt idx="3">
                  <c:v>73.0</c:v>
                </c:pt>
                <c:pt idx="4">
                  <c:v>59.0</c:v>
                </c:pt>
                <c:pt idx="5">
                  <c:v>58.0</c:v>
                </c:pt>
                <c:pt idx="6">
                  <c:v>50.0</c:v>
                </c:pt>
                <c:pt idx="7">
                  <c:v>43.0</c:v>
                </c:pt>
                <c:pt idx="8">
                  <c:v>43.0</c:v>
                </c:pt>
                <c:pt idx="9">
                  <c:v>40.0</c:v>
                </c:pt>
                <c:pt idx="10">
                  <c:v>20.0</c:v>
                </c:pt>
                <c:pt idx="11">
                  <c:v>15.0</c:v>
                </c:pt>
                <c:pt idx="12">
                  <c:v>12.0</c:v>
                </c:pt>
                <c:pt idx="13">
                  <c:v>12.0</c:v>
                </c:pt>
                <c:pt idx="14">
                  <c:v>12.0</c:v>
                </c:pt>
                <c:pt idx="15">
                  <c:v>12.0</c:v>
                </c:pt>
                <c:pt idx="16">
                  <c:v>10.0</c:v>
                </c:pt>
                <c:pt idx="17">
                  <c:v>10.0</c:v>
                </c:pt>
                <c:pt idx="18">
                  <c:v>10.0</c:v>
                </c:pt>
                <c:pt idx="19">
                  <c:v>6.0</c:v>
                </c:pt>
                <c:pt idx="20">
                  <c:v>4.0</c:v>
                </c:pt>
                <c:pt idx="21">
                  <c:v>4.0</c:v>
                </c:pt>
                <c:pt idx="22">
                  <c:v>4.0</c:v>
                </c:pt>
                <c:pt idx="23">
                  <c:v>3.0</c:v>
                </c:pt>
                <c:pt idx="24">
                  <c:v>3.0</c:v>
                </c:pt>
                <c:pt idx="25">
                  <c:v>2.0</c:v>
                </c:pt>
                <c:pt idx="26">
                  <c:v>1.0</c:v>
                </c:pt>
                <c:pt idx="27">
                  <c:v>1.0</c:v>
                </c:pt>
                <c:pt idx="28">
                  <c:v>1.0</c:v>
                </c:pt>
                <c:pt idx="29">
                  <c:v>1.0</c:v>
                </c:pt>
                <c:pt idx="30">
                  <c:v>1.0</c:v>
                </c:pt>
                <c:pt idx="31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9838848"/>
        <c:axId val="339840384"/>
      </c:barChart>
      <c:catAx>
        <c:axId val="339838848"/>
        <c:scaling>
          <c:orientation val="minMax"/>
        </c:scaling>
        <c:delete val="0"/>
        <c:axPos val="l"/>
        <c:majorTickMark val="out"/>
        <c:minorTickMark val="none"/>
        <c:tickLblPos val="nextTo"/>
        <c:crossAx val="339840384"/>
        <c:crosses val="autoZero"/>
        <c:auto val="1"/>
        <c:lblAlgn val="ctr"/>
        <c:lblOffset val="100"/>
        <c:noMultiLvlLbl val="0"/>
      </c:catAx>
      <c:valAx>
        <c:axId val="3398403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39838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Georgia Rate-of-Property-Crime-Offenses from 2009-2019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'Rate-of-Property-Crime-Offenses'!$A$3</c:f>
              <c:strCache>
                <c:ptCount val="1"/>
                <c:pt idx="0">
                  <c:v>Georgia</c:v>
                </c:pt>
              </c:strCache>
            </c:strRef>
          </c:tx>
          <c:marker>
            <c:symbol val="none"/>
          </c:marker>
          <c:cat>
            <c:numRef>
              <c:f>'Rate-of-Property-Crime-Offenses'!$B$1:$L$1</c:f>
              <c:numCache>
                <c:formatCode>General</c:formatCode>
                <c:ptCount val="11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  <c:pt idx="4">
                  <c:v>2013.0</c:v>
                </c:pt>
                <c:pt idx="5">
                  <c:v>2014.0</c:v>
                </c:pt>
                <c:pt idx="6">
                  <c:v>2015.0</c:v>
                </c:pt>
                <c:pt idx="7">
                  <c:v>2016.0</c:v>
                </c:pt>
                <c:pt idx="8">
                  <c:v>2017.0</c:v>
                </c:pt>
                <c:pt idx="9">
                  <c:v>2018.0</c:v>
                </c:pt>
                <c:pt idx="10">
                  <c:v>2019.0</c:v>
                </c:pt>
              </c:numCache>
            </c:numRef>
          </c:cat>
          <c:val>
            <c:numRef>
              <c:f>'Rate-of-Property-Crime-Offenses'!$B$3:$L$3</c:f>
              <c:numCache>
                <c:formatCode>General</c:formatCode>
                <c:ptCount val="11"/>
                <c:pt idx="0">
                  <c:v>3672.6</c:v>
                </c:pt>
                <c:pt idx="1">
                  <c:v>3639.2</c:v>
                </c:pt>
                <c:pt idx="2">
                  <c:v>3640.6</c:v>
                </c:pt>
                <c:pt idx="3">
                  <c:v>3423.6</c:v>
                </c:pt>
                <c:pt idx="4">
                  <c:v>3399.9</c:v>
                </c:pt>
                <c:pt idx="5">
                  <c:v>3358.8</c:v>
                </c:pt>
                <c:pt idx="6">
                  <c:v>3098.3</c:v>
                </c:pt>
                <c:pt idx="7">
                  <c:v>2979.6</c:v>
                </c:pt>
                <c:pt idx="8">
                  <c:v>2858.4</c:v>
                </c:pt>
                <c:pt idx="9">
                  <c:v>2642.9</c:v>
                </c:pt>
                <c:pt idx="10">
                  <c:v>2375.8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848192"/>
        <c:axId val="339858176"/>
      </c:lineChart>
      <c:catAx>
        <c:axId val="339848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9858176"/>
        <c:crosses val="autoZero"/>
        <c:auto val="1"/>
        <c:lblAlgn val="ctr"/>
        <c:lblOffset val="100"/>
        <c:noMultiLvlLbl val="0"/>
      </c:catAx>
      <c:valAx>
        <c:axId val="33985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984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191</Words>
  <Pages>5</Pages>
  <Characters>1338</Characters>
  <Application>WPS Office</Application>
  <DocSecurity>0</DocSecurity>
  <Paragraphs>89</Paragraphs>
  <ScaleCrop>false</ScaleCrop>
  <LinksUpToDate>false</LinksUpToDate>
  <CharactersWithSpaces>1504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2021-05-12T15:19:05Z</dcterms:created>
  <dc:creator>User</dc:creator>
  <lastModifiedBy>SM-A515F</lastModifiedBy>
  <dcterms:modified xsi:type="dcterms:W3CDTF">2021-05-12T15:19:05Z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